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重庆贵州免疫性皮肤病诊疗交流会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eastAsia="zh-CN"/>
        </w:rPr>
        <w:t>日程安排</w:t>
      </w:r>
    </w:p>
    <w:p>
      <w:pPr>
        <w:jc w:val="center"/>
        <w:rPr>
          <w:rFonts w:hint="eastAsia" w:ascii="黑体" w:hAnsi="黑体" w:eastAsia="黑体" w:cs="黑体"/>
          <w:b/>
          <w:color w:val="auto"/>
          <w:sz w:val="36"/>
          <w:szCs w:val="36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一、会议名称：</w:t>
      </w:r>
      <w:r>
        <w:rPr>
          <w:rFonts w:hint="eastAsia" w:ascii="宋体" w:hAnsi="宋体" w:eastAsia="宋体" w:cs="宋体"/>
          <w:sz w:val="24"/>
          <w:szCs w:val="24"/>
        </w:rPr>
        <w:t>重庆贵州免疫性皮肤病诊疗交流会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二、会议时间：</w:t>
      </w:r>
      <w:r>
        <w:rPr>
          <w:rFonts w:hint="eastAsia" w:ascii="宋体" w:hAnsi="宋体" w:eastAsia="宋体" w:cs="宋体"/>
          <w:sz w:val="24"/>
          <w:szCs w:val="24"/>
        </w:rPr>
        <w:t>2023年7月21日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三、会议地点：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贵阳市南明区索菲特酒店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四、会议内容：</w:t>
      </w:r>
      <w:r>
        <w:rPr>
          <w:rFonts w:hint="eastAsia" w:ascii="宋体" w:hAnsi="宋体" w:eastAsia="宋体" w:cs="宋体"/>
          <w:sz w:val="24"/>
          <w:szCs w:val="24"/>
        </w:rPr>
        <w:t>加强国内学术交流，推动区域学术平衡发展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五、会议日程：</w:t>
      </w:r>
    </w:p>
    <w:tbl>
      <w:tblPr>
        <w:tblStyle w:val="3"/>
        <w:tblW w:w="52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3950"/>
        <w:gridCol w:w="3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0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7363" w:type="dxa"/>
            <w:gridSpan w:val="2"/>
            <w:shd w:val="clear" w:color="auto" w:fill="FEFEFE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0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9:00-12:00</w:t>
            </w:r>
          </w:p>
        </w:tc>
        <w:tc>
          <w:tcPr>
            <w:tcW w:w="7363" w:type="dxa"/>
            <w:gridSpan w:val="2"/>
            <w:shd w:val="clear" w:color="auto" w:fill="FEFEFE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区域免疫性疑难病例查房及讨论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0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12:00-13:00</w:t>
            </w:r>
          </w:p>
        </w:tc>
        <w:tc>
          <w:tcPr>
            <w:tcW w:w="7363" w:type="dxa"/>
            <w:gridSpan w:val="2"/>
            <w:shd w:val="clear" w:color="auto" w:fill="FEFEFE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0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14:00-14:10</w:t>
            </w:r>
          </w:p>
        </w:tc>
        <w:tc>
          <w:tcPr>
            <w:tcW w:w="3947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开场</w:t>
            </w:r>
          </w:p>
        </w:tc>
        <w:tc>
          <w:tcPr>
            <w:tcW w:w="3416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陈旭娥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0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14:10-14:40</w:t>
            </w:r>
          </w:p>
        </w:tc>
        <w:tc>
          <w:tcPr>
            <w:tcW w:w="3947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深度全清  长净久安</w:t>
            </w:r>
          </w:p>
        </w:tc>
        <w:tc>
          <w:tcPr>
            <w:tcW w:w="3416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杨柳依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0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14:40-15:10</w:t>
            </w:r>
          </w:p>
        </w:tc>
        <w:tc>
          <w:tcPr>
            <w:tcW w:w="3947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银屑病合并恶性肿瘤的治疗选择</w:t>
            </w:r>
          </w:p>
        </w:tc>
        <w:tc>
          <w:tcPr>
            <w:tcW w:w="3416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  萍  重庆医科大学附属第一医院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0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15:10-15:40</w:t>
            </w:r>
          </w:p>
        </w:tc>
        <w:tc>
          <w:tcPr>
            <w:tcW w:w="7363" w:type="dxa"/>
            <w:gridSpan w:val="2"/>
            <w:shd w:val="clear" w:color="auto" w:fill="FEFEFE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0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15:40-16:10</w:t>
            </w:r>
          </w:p>
        </w:tc>
        <w:tc>
          <w:tcPr>
            <w:tcW w:w="3947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病例分享</w:t>
            </w:r>
          </w:p>
        </w:tc>
        <w:tc>
          <w:tcPr>
            <w:tcW w:w="3416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贾常莎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遵义医科大学附属医院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0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16:10-16:40</w:t>
            </w:r>
          </w:p>
        </w:tc>
        <w:tc>
          <w:tcPr>
            <w:tcW w:w="3947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病例分享</w:t>
            </w:r>
          </w:p>
        </w:tc>
        <w:tc>
          <w:tcPr>
            <w:tcW w:w="3416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鲁  瑾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0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3" w:type="dxa"/>
            <w:gridSpan w:val="2"/>
            <w:shd w:val="clear" w:color="auto" w:fill="FEFEFE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特邀嘉宾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0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16:40-17:10</w:t>
            </w:r>
          </w:p>
        </w:tc>
        <w:tc>
          <w:tcPr>
            <w:tcW w:w="3947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大会讨论环节</w:t>
            </w:r>
          </w:p>
        </w:tc>
        <w:tc>
          <w:tcPr>
            <w:tcW w:w="3416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肖玉凤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贵阳市第二人民医院</w:t>
            </w:r>
          </w:p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胡  洁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遵义医科大学附属医院</w:t>
            </w:r>
          </w:p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刘德洋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黔东南州人民医院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0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17:10-17:20</w:t>
            </w:r>
          </w:p>
        </w:tc>
        <w:tc>
          <w:tcPr>
            <w:tcW w:w="3947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大会总结</w:t>
            </w:r>
          </w:p>
        </w:tc>
        <w:tc>
          <w:tcPr>
            <w:tcW w:w="3416" w:type="dxa"/>
            <w:shd w:val="clear" w:color="auto" w:fill="FEFEFE"/>
            <w:vAlign w:val="top"/>
          </w:tcPr>
          <w:p>
            <w:pPr>
              <w:widowControl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陈旭娥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913" w:type="dxa"/>
            <w:gridSpan w:val="3"/>
            <w:shd w:val="clear" w:color="auto" w:fill="FEFEFE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会议晚宴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701" w:leftChars="2334" w:hanging="1800" w:hangingChars="750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权益明细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18" w:firstLineChars="221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1.专题会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8万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元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个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40分钟（赠送展台一个）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3640" w:firstLineChars="13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6万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元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个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30分钟（赠送展台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3640" w:firstLineChars="13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5万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元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个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20分钟（不赠送展台）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18" w:firstLineChars="221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2.会议资料包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LOGO展示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3万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18" w:firstLineChars="221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3.标准展台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3万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元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个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18" w:firstLineChars="221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4.会议资料插页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LOGO展示：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银行信息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开户名：中关村精准医学基金会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开户行：农业银行北京航天桥支行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账号：11211201040001009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联系人：栗老师18511935579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701" w:leftChars="2334" w:hanging="1800" w:hangingChars="750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中关村精准医学基金会    </w:t>
      </w:r>
    </w:p>
    <w:p>
      <w:pPr>
        <w:jc w:val="right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         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center"/>
        <w:rPr>
          <w:rFonts w:hint="eastAsia" w:ascii="黑体" w:hAnsi="黑体" w:eastAsia="黑体" w:cs="黑体"/>
          <w:b/>
          <w:color w:val="auto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5B437472"/>
    <w:rsid w:val="354B6B44"/>
    <w:rsid w:val="5B437472"/>
    <w:rsid w:val="7505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593</Characters>
  <Lines>0</Lines>
  <Paragraphs>0</Paragraphs>
  <TotalTime>0</TotalTime>
  <ScaleCrop>false</ScaleCrop>
  <LinksUpToDate>false</LinksUpToDate>
  <CharactersWithSpaces>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2023-07-03T05:38:00Z</dcterms:created>
  <dc:creator>♞赤道上的两极♛</dc:creator>
  <cp:lastModifiedBy>♞赤道上的两极♛</cp:lastModifiedBy>
  <dcterms:modified xsi:type="dcterms:W3CDTF">2023-07-03T07:49:30Z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0B629E1335FC46D884CA8E7947B50D2E_11</vt:lpwstr>
  </property>
</Properties>
</file>